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570" w:rsidRPr="00B83570" w:rsidRDefault="00B83570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Документ предоставлен </w:t>
      </w:r>
      <w:hyperlink r:id="rId4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КонсультантПлюс</w:t>
        </w:r>
      </w:hyperlink>
      <w:r w:rsidRPr="00B83570">
        <w:rPr>
          <w:rFonts w:ascii="Times New Roman" w:hAnsi="Times New Roman" w:cs="Times New Roman"/>
          <w:sz w:val="28"/>
          <w:szCs w:val="28"/>
        </w:rPr>
        <w:br/>
      </w:r>
    </w:p>
    <w:p w:rsidR="00B83570" w:rsidRPr="00B83570" w:rsidRDefault="00B83570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Зарегистрировано в Минюсте России 19 января 2023 г. N 72057</w:t>
      </w:r>
    </w:p>
    <w:p w:rsidR="00B83570" w:rsidRPr="00B83570" w:rsidRDefault="00B83570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ПРИКАЗ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от 12 декабря 2022 г. N 1101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ОБ УТВЕРЖДЕНИИ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 ПО СПЕЦИАЛЬНОСТИ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55.02.03 КИНО- И ТЕЛЕПРОИЗВОДСТВО (ПО ВИДАМ)</w:t>
      </w:r>
    </w:p>
    <w:p w:rsidR="00B83570" w:rsidRPr="00B83570" w:rsidRDefault="00B83570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3570" w:rsidRPr="00B835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Приказов </w:t>
            </w:r>
            <w:proofErr w:type="spellStart"/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Минпросвещения</w:t>
            </w:r>
            <w:proofErr w:type="spellEnd"/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России от 03.07.2024 </w:t>
            </w:r>
            <w:hyperlink r:id="rId5">
              <w:r w:rsidRPr="00B83570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464</w:t>
              </w:r>
            </w:hyperlink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13.07.2026 </w:t>
            </w:r>
            <w:hyperlink r:id="rId6">
              <w:r w:rsidRPr="00B83570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490</w:t>
              </w:r>
            </w:hyperlink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подпунктом 4.2.30 пункта 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r:id="rId8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пунктом 27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Утвердить прилагаемый федеральный государственный образовательный </w:t>
      </w:r>
      <w:hyperlink w:anchor="P32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стандарт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 по специальности 55.02.03 Кино- и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телепроизводство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(по видам).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Министр</w:t>
      </w:r>
    </w:p>
    <w:p w:rsidR="00B83570" w:rsidRPr="00B83570" w:rsidRDefault="00B835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С.С.КРАВЦОВ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Утвержден</w:t>
      </w:r>
    </w:p>
    <w:p w:rsidR="00B83570" w:rsidRPr="00B83570" w:rsidRDefault="00B835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lastRenderedPageBreak/>
        <w:t>приказом Министерства просвещения</w:t>
      </w:r>
    </w:p>
    <w:p w:rsidR="00B83570" w:rsidRPr="00B83570" w:rsidRDefault="00B835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B83570" w:rsidRPr="00B83570" w:rsidRDefault="00B835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от 12 декабря 2022 г. N 1101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B83570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 ПО СПЕЦИАЛЬНОСТИ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55.02.03 КИНО- И ТЕЛЕПРОИЗВОДСТВО (ПО ВИДАМ)</w:t>
      </w:r>
    </w:p>
    <w:p w:rsidR="00B83570" w:rsidRPr="00B83570" w:rsidRDefault="00B83570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3570" w:rsidRPr="00B835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Приказов </w:t>
            </w:r>
            <w:proofErr w:type="spellStart"/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Минпросвещения</w:t>
            </w:r>
            <w:proofErr w:type="spellEnd"/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России от 03.07.2024 </w:t>
            </w:r>
            <w:hyperlink r:id="rId9">
              <w:r w:rsidRPr="00B83570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464</w:t>
              </w:r>
            </w:hyperlink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13.07.2026 </w:t>
            </w:r>
            <w:hyperlink r:id="rId10">
              <w:r w:rsidRPr="00B83570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490</w:t>
              </w:r>
            </w:hyperlink>
            <w:r w:rsidRPr="00B83570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1"/>
      <w:bookmarkEnd w:id="1"/>
      <w:r w:rsidRPr="00B83570">
        <w:rPr>
          <w:rFonts w:ascii="Times New Roman" w:hAnsi="Times New Roman" w:cs="Times New Roman"/>
          <w:sz w:val="28"/>
          <w:szCs w:val="28"/>
        </w:rPr>
        <w:t xml:space="preserve">1.1. Настоящий федеральный государственный образовательный стандарт среднего профессионального </w:t>
      </w:r>
      <w:bookmarkStart w:id="2" w:name="_GoBack"/>
      <w:bookmarkEnd w:id="2"/>
      <w:r w:rsidRPr="00B83570">
        <w:rPr>
          <w:rFonts w:ascii="Times New Roman" w:hAnsi="Times New Roman" w:cs="Times New Roman"/>
          <w:sz w:val="28"/>
          <w:szCs w:val="28"/>
        </w:rPr>
        <w:t xml:space="preserve">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55.02.03 Кино- и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телепроизводство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(по видам) (далее соответственно - ФГОС СПО, образовательная программа, специальность) в соответствии с квалификацией специалиста среднего звена "специалист по кино- и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телепроизводству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>" &lt;1&gt;.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&lt;1&gt; </w:t>
      </w:r>
      <w:hyperlink r:id="rId11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2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стандарта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lastRenderedPageBreak/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&lt;2&gt; Федеральный государственный образовательный </w:t>
      </w:r>
      <w:hyperlink r:id="rId14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стандарт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5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1.4. Обучение по образовательной программе в образовательной организации осуществляется в очной и очно-заочной формах обучения.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</w:t>
      </w:r>
      <w:r w:rsidRPr="00B83570">
        <w:rPr>
          <w:rFonts w:ascii="Times New Roman" w:hAnsi="Times New Roman" w:cs="Times New Roman"/>
          <w:sz w:val="28"/>
          <w:szCs w:val="28"/>
        </w:rPr>
        <w:lastRenderedPageBreak/>
        <w:t>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&lt;3&gt; </w:t>
      </w:r>
      <w:hyperlink r:id="rId17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Часть 2 статьи 12.1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2022, N 39, ст. 6541).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&lt;4&gt; </w:t>
      </w:r>
      <w:hyperlink r:id="rId18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Статья 14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6"/>
      <w:bookmarkEnd w:id="3"/>
      <w:r w:rsidRPr="00B83570">
        <w:rPr>
          <w:rFonts w:ascii="Times New Roman" w:hAnsi="Times New Roman" w:cs="Times New Roman"/>
          <w:sz w:val="28"/>
          <w:szCs w:val="28"/>
        </w:rP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на базе среднего общего образования - 2 года 10 месяцев;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на базе основного общего образования - 3 года 10 месяцев.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Срок получения образования по образовательной программе в очно-заочной форме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1.11. Конкретный срок получения образования в очно-заочной форме </w:t>
      </w:r>
      <w:r w:rsidRPr="00B83570">
        <w:rPr>
          <w:rFonts w:ascii="Times New Roman" w:hAnsi="Times New Roman" w:cs="Times New Roman"/>
          <w:sz w:val="28"/>
          <w:szCs w:val="28"/>
        </w:rPr>
        <w:lastRenderedPageBreak/>
        <w:t xml:space="preserve">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6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пунктом 1.9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>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настоящим ФГОС СПО &lt;5&gt;.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9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&lt;5&gt; </w:t>
      </w:r>
      <w:hyperlink r:id="rId20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 11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>", утвержденного постановлением Правительства Российской Федерации от 16 марта 2022 г. N 387 (Собрание законодательства Российской Федерации, 2022, N 12, ст. 1871), действующим до 1 января 2026 г.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9"/>
      <w:bookmarkEnd w:id="4"/>
      <w:r w:rsidRPr="00B83570">
        <w:rPr>
          <w:rFonts w:ascii="Times New Roman" w:hAnsi="Times New Roman" w:cs="Times New Roman"/>
          <w:sz w:val="28"/>
          <w:szCs w:val="28"/>
        </w:rP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21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01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. Образование и наука, </w:t>
      </w:r>
      <w:hyperlink r:id="rId22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04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. Культура, искусство, </w:t>
      </w:r>
      <w:hyperlink r:id="rId23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06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. Связь, информационные и коммуникационные технологии, </w:t>
      </w:r>
      <w:hyperlink r:id="rId24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11</w:t>
        </w:r>
      </w:hyperlink>
      <w:r w:rsidRPr="00B83570">
        <w:rPr>
          <w:rFonts w:ascii="Times New Roman" w:hAnsi="Times New Roman" w:cs="Times New Roman"/>
          <w:sz w:val="28"/>
          <w:szCs w:val="28"/>
        </w:rPr>
        <w:t>. Средства массовой информации, издательство и полиграфия &lt;6&gt;.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&lt;6&gt; </w:t>
      </w:r>
      <w:hyperlink r:id="rId25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Таблица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Выпускники могут осуществлять профессиональную деятельность в </w:t>
      </w:r>
      <w:r w:rsidRPr="00B83570">
        <w:rPr>
          <w:rFonts w:ascii="Times New Roman" w:hAnsi="Times New Roman" w:cs="Times New Roman"/>
          <w:sz w:val="28"/>
          <w:szCs w:val="28"/>
        </w:rPr>
        <w:lastRenderedPageBreak/>
        <w:t>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(п. 1.15 в ред. </w:t>
      </w:r>
      <w:hyperlink r:id="rId26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II. ТРЕБОВАНИЯ К СТРУКТУРЕ ОБРАЗОВАТЕЛЬНОЙ ПРОГРАММЫ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2.1. Структура и объем образовательной программы </w:t>
      </w:r>
      <w:hyperlink w:anchor="P96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(таблица N 1)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дисциплины (модули);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практику;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государственную итоговую аттестацию.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Таблица N 1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96"/>
      <w:bookmarkEnd w:id="5"/>
      <w:r w:rsidRPr="00B83570">
        <w:rPr>
          <w:rFonts w:ascii="Times New Roman" w:hAnsi="Times New Roman" w:cs="Times New Roman"/>
          <w:sz w:val="28"/>
          <w:szCs w:val="28"/>
        </w:rPr>
        <w:t>Структура и объем образовательной программы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69"/>
        <w:gridCol w:w="3996"/>
      </w:tblGrid>
      <w:tr w:rsidR="00B83570" w:rsidRPr="00B83570">
        <w:tc>
          <w:tcPr>
            <w:tcW w:w="5069" w:type="dxa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3996" w:type="dxa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Объем образовательной программы, в академических часах</w:t>
            </w:r>
          </w:p>
        </w:tc>
      </w:tr>
      <w:tr w:rsidR="00B83570" w:rsidRPr="00B83570">
        <w:tc>
          <w:tcPr>
            <w:tcW w:w="5069" w:type="dxa"/>
            <w:vAlign w:val="bottom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Дисциплины (модули)</w:t>
            </w:r>
          </w:p>
        </w:tc>
        <w:tc>
          <w:tcPr>
            <w:tcW w:w="3996" w:type="dxa"/>
            <w:vAlign w:val="bottom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Не менее 2052</w:t>
            </w:r>
          </w:p>
        </w:tc>
      </w:tr>
      <w:tr w:rsidR="00B83570" w:rsidRPr="00B83570">
        <w:tc>
          <w:tcPr>
            <w:tcW w:w="5069" w:type="dxa"/>
            <w:vAlign w:val="bottom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3996" w:type="dxa"/>
            <w:vAlign w:val="bottom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Не менее 900</w:t>
            </w:r>
          </w:p>
        </w:tc>
      </w:tr>
      <w:tr w:rsidR="00B83570" w:rsidRPr="00B83570">
        <w:tc>
          <w:tcPr>
            <w:tcW w:w="5069" w:type="dxa"/>
            <w:vAlign w:val="bottom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3996" w:type="dxa"/>
            <w:vAlign w:val="bottom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B83570" w:rsidRPr="00B83570">
        <w:tc>
          <w:tcPr>
            <w:tcW w:w="9065" w:type="dxa"/>
            <w:gridSpan w:val="2"/>
            <w:vAlign w:val="bottom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Общий объем образовательной программы:</w:t>
            </w:r>
          </w:p>
        </w:tc>
      </w:tr>
      <w:tr w:rsidR="00B83570" w:rsidRPr="00B83570">
        <w:tc>
          <w:tcPr>
            <w:tcW w:w="5069" w:type="dxa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на базе среднего общего образования</w:t>
            </w:r>
          </w:p>
        </w:tc>
        <w:tc>
          <w:tcPr>
            <w:tcW w:w="3996" w:type="dxa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4464</w:t>
            </w:r>
          </w:p>
        </w:tc>
      </w:tr>
      <w:tr w:rsidR="00B83570" w:rsidRPr="00B83570">
        <w:tc>
          <w:tcPr>
            <w:tcW w:w="5069" w:type="dxa"/>
            <w:vAlign w:val="bottom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r:id="rId27">
              <w:r w:rsidRPr="00B83570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стандарта</w:t>
              </w:r>
            </w:hyperlink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 среднего общего образования</w:t>
            </w:r>
          </w:p>
        </w:tc>
        <w:tc>
          <w:tcPr>
            <w:tcW w:w="3996" w:type="dxa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5940</w:t>
            </w:r>
          </w:p>
        </w:tc>
      </w:tr>
    </w:tbl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lastRenderedPageBreak/>
        <w:t>2.2. Образовательная программа включает: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социально-гуманитарный цикл;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общепрофессиональный цикл;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профессиональный цикл.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6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главой III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8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13.07.2026 N 490)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9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23"/>
      <w:bookmarkEnd w:id="6"/>
      <w:r w:rsidRPr="00B83570">
        <w:rPr>
          <w:rFonts w:ascii="Times New Roman" w:hAnsi="Times New Roman" w:cs="Times New Roman"/>
          <w:sz w:val="28"/>
          <w:szCs w:val="28"/>
        </w:rPr>
        <w:t>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0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режиссерская разработка, организация подготовительного периода и съемок кино- и телефильма;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изобразительная разработка, техническое сопровождение кино- и телесъемок, и монтажно-тонировочного периода;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разработка и реализация звукового решения кино- и телефильма;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lastRenderedPageBreak/>
        <w:t>монтаж кино- и телефильма.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23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пункте 2.4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СПО, в рамках вариативной части.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"Философия искусства и творчества", "Психология искусства и творчества", "Современная наука в кинопроизводстве", "История искусств", "История и </w:t>
      </w:r>
      <w:r w:rsidRPr="00B83570">
        <w:rPr>
          <w:rFonts w:ascii="Times New Roman" w:hAnsi="Times New Roman" w:cs="Times New Roman"/>
          <w:sz w:val="28"/>
          <w:szCs w:val="28"/>
        </w:rPr>
        <w:lastRenderedPageBreak/>
        <w:t>язык кино", "Технология кинопроизводства", "Рисунок", "Монтаж", "Фотография".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anchor="P123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8 зачетных единиц.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1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рассредоточенно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2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2.12. Государственная итоговая аттестация проводится в форме государственного экзамена и защиты дипломного проекта (работы).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1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пункте 1.1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146"/>
      <w:bookmarkEnd w:id="7"/>
      <w:r w:rsidRPr="00B83570">
        <w:rPr>
          <w:rFonts w:ascii="Times New Roman" w:hAnsi="Times New Roman" w:cs="Times New Roman"/>
          <w:sz w:val="28"/>
          <w:szCs w:val="28"/>
        </w:rPr>
        <w:t>III. ТРЕБОВАНИЯ К РЕЗУЛЬТАТАМ ОСВОЕНИЯ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ОБРАЗОВАТЕЛЬНОЙ ПРОГРАММЫ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3.2. Выпускник, освоивший образовательную программу, должен обладать следующими общими компетенциями (далее - ОК):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lastRenderedPageBreak/>
        <w:t xml:space="preserve">ОК 02. Использовать современные средства поиска, анализа и </w:t>
      </w:r>
      <w:proofErr w:type="gramStart"/>
      <w:r w:rsidRPr="00B83570">
        <w:rPr>
          <w:rFonts w:ascii="Times New Roman" w:hAnsi="Times New Roman" w:cs="Times New Roman"/>
          <w:sz w:val="28"/>
          <w:szCs w:val="28"/>
        </w:rPr>
        <w:t>интерпретации информации</w:t>
      </w:r>
      <w:proofErr w:type="gramEnd"/>
      <w:r w:rsidRPr="00B83570">
        <w:rPr>
          <w:rFonts w:ascii="Times New Roman" w:hAnsi="Times New Roman" w:cs="Times New Roman"/>
          <w:sz w:val="28"/>
          <w:szCs w:val="28"/>
        </w:rPr>
        <w:t xml:space="preserve"> и информационные технологии для выполнения задач профессиональной деятельности;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anchor="P123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СПО, сформированными в том числе на основе профессиональных стандартов (при наличии), указанных в ПОП.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3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Таблица N 2</w:t>
      </w:r>
    </w:p>
    <w:p w:rsidR="00B83570" w:rsidRPr="00B83570" w:rsidRDefault="00B835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4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13.07.2026 N 490)</w:t>
      </w:r>
    </w:p>
    <w:p w:rsidR="00B83570" w:rsidRPr="00B83570" w:rsidRDefault="00B835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9"/>
        <w:gridCol w:w="6146"/>
      </w:tblGrid>
      <w:tr w:rsidR="00B83570" w:rsidRPr="00B83570">
        <w:tc>
          <w:tcPr>
            <w:tcW w:w="2899" w:type="dxa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  <w:tc>
          <w:tcPr>
            <w:tcW w:w="6146" w:type="dxa"/>
          </w:tcPr>
          <w:p w:rsidR="00B83570" w:rsidRPr="00B83570" w:rsidRDefault="00B835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Профессиональные компетенции, соответствующие видам деятельности</w:t>
            </w:r>
          </w:p>
        </w:tc>
      </w:tr>
      <w:tr w:rsidR="00B83570" w:rsidRPr="00B83570">
        <w:tc>
          <w:tcPr>
            <w:tcW w:w="2899" w:type="dxa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режиссерская разработка, организация подготовительного периода и съемок кино- и телефильма</w:t>
            </w:r>
          </w:p>
        </w:tc>
        <w:tc>
          <w:tcPr>
            <w:tcW w:w="6146" w:type="dxa"/>
          </w:tcPr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1.1. Разрабатывать режиссерский сценарий и раскадровку на основе литературного сценария с определением монтажно-ритмической структуры и изобразительного решения кино- и телефильма.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ПК 1.2. Создавать </w:t>
            </w:r>
            <w:proofErr w:type="spellStart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превизуализацию</w:t>
            </w:r>
            <w:proofErr w:type="spellEnd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 (моделировать сцены будущего фильма в виртуальном пространстве).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1.3. Составлять производственный план, бюджет фильма.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ПК 1.4. Организовывать и координировать работу представителей различных </w:t>
            </w:r>
            <w:proofErr w:type="spellStart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кинодепартаментов</w:t>
            </w:r>
            <w:proofErr w:type="spellEnd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 во время подготовительного периода и съемок кино- и телефильма.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1.5. Управлять созданием изобразительного решения, обеспечивая визуальное единство и сохранение узнаваемости персонажей и локаций.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1.6. Составлять и передавать нейросетям текстовые запросы для сценарной разработки, генерации диалогов и семантического анализа драматургической структуры.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1.7. Составлять и передавать нейросетям текстовые запросы для структурного анализа драматургии и генерации сценарных альтернатив.</w:t>
            </w:r>
          </w:p>
        </w:tc>
      </w:tr>
      <w:tr w:rsidR="00B83570" w:rsidRPr="00B83570">
        <w:tc>
          <w:tcPr>
            <w:tcW w:w="2899" w:type="dxa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изобразительная разработка, техническое сопровождение кино- и телесъемок и монтажно-тонировочного периода</w:t>
            </w:r>
          </w:p>
        </w:tc>
        <w:tc>
          <w:tcPr>
            <w:tcW w:w="6146" w:type="dxa"/>
          </w:tcPr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2.1. Разрабатывать операторскую экспликацию (схемы освещения и движения камеры) для съемки в павильоне, интерьере и на натуре.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2.2. Разрабатывать схему расстановки и использования осветительных приборов в соответствии с художественными задачами.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2.3. Подбирать и эксплуатировать съемочную технику в павильоне, интерьере и на натуре в соответствии с их спецификой.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2.4. Подбирать и эксплуатировать осветительную технику в павильоне, интерьере и на натуре в соответствии с их спецификой.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2.5. Выстраивать и компоновать кадры фильма, используя выразительные средства кинематографа, фотографии и изобразительного искусства.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ПК 2.6. Разрабатывать визуальные решения кадров и сцен с использованием </w:t>
            </w:r>
            <w:proofErr w:type="spellStart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нейросетевых</w:t>
            </w:r>
            <w:proofErr w:type="spellEnd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 и вычислительной фотографии.</w:t>
            </w:r>
          </w:p>
        </w:tc>
      </w:tr>
      <w:tr w:rsidR="00B83570" w:rsidRPr="00B83570">
        <w:tc>
          <w:tcPr>
            <w:tcW w:w="2899" w:type="dxa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и реализация звукового решения кино- и телефильма</w:t>
            </w:r>
          </w:p>
        </w:tc>
        <w:tc>
          <w:tcPr>
            <w:tcW w:w="6146" w:type="dxa"/>
          </w:tcPr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3.1. Регулировать и изменять параметры звукового решения фильма.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3.2. Владеть техникой записи звука на многоканальные портативные аппараты во время съемок с соблюдением заданных технических параметров.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3.3. Владеть техникой монтажа звука, создавать сбалансированное звуковое сопровождение к кино- и телефильму.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ПК 3.4. Выполнять интеллектуальную реставрацию и спектральную очистку аудиоматериала с применением </w:t>
            </w:r>
            <w:proofErr w:type="spellStart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нейросетевых</w:t>
            </w:r>
            <w:proofErr w:type="spellEnd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 алгоритмов.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3.5. Применять технологии синтеза речи и клонирования голоса для задач речевого озвучания и локализации.</w:t>
            </w:r>
          </w:p>
        </w:tc>
      </w:tr>
      <w:tr w:rsidR="00B83570" w:rsidRPr="00B83570">
        <w:tc>
          <w:tcPr>
            <w:tcW w:w="2899" w:type="dxa"/>
          </w:tcPr>
          <w:p w:rsidR="00B83570" w:rsidRPr="00B83570" w:rsidRDefault="00B835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монтаж кино- и телефильма</w:t>
            </w:r>
          </w:p>
        </w:tc>
        <w:tc>
          <w:tcPr>
            <w:tcW w:w="6146" w:type="dxa"/>
          </w:tcPr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4.1. Разрабатывать монтажную структуру на основе анализа литературной основы фильма, режиссерского сценария и отснятого материала.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4.2. Систематизировать и архивировать отснятый материал фильма, подготавливать его к монтажу.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4.3. Осуществлять черновой и чистовой монтаж фильма совместно с режиссером-постановщиком.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4.4. Создавать и анимировать титры фильма.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ПК 4.5. Выполнять генеративную модификацию кадра и </w:t>
            </w:r>
            <w:proofErr w:type="spellStart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нейросетевую</w:t>
            </w:r>
            <w:proofErr w:type="spellEnd"/>
            <w:r w:rsidRPr="00B83570">
              <w:rPr>
                <w:rFonts w:ascii="Times New Roman" w:hAnsi="Times New Roman" w:cs="Times New Roman"/>
                <w:sz w:val="28"/>
                <w:szCs w:val="28"/>
              </w:rPr>
              <w:t xml:space="preserve"> реставрацию видеоматериала.</w:t>
            </w:r>
          </w:p>
          <w:p w:rsidR="00B83570" w:rsidRPr="00B83570" w:rsidRDefault="00B835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570">
              <w:rPr>
                <w:rFonts w:ascii="Times New Roman" w:hAnsi="Times New Roman" w:cs="Times New Roman"/>
                <w:sz w:val="28"/>
                <w:szCs w:val="28"/>
              </w:rPr>
              <w:t>ПК 4.6. Применять технологии нейронного рендеринга и синтеза изображений для цветокоррекции и художественной стилизации.</w:t>
            </w:r>
          </w:p>
        </w:tc>
      </w:tr>
    </w:tbl>
    <w:p w:rsidR="00B83570" w:rsidRPr="00B83570" w:rsidRDefault="00B8357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23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5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13.07.2026 N 490)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</w:t>
      </w:r>
      <w:r w:rsidRPr="00B83570">
        <w:rPr>
          <w:rFonts w:ascii="Times New Roman" w:hAnsi="Times New Roman" w:cs="Times New Roman"/>
          <w:sz w:val="28"/>
          <w:szCs w:val="28"/>
        </w:rPr>
        <w:lastRenderedPageBreak/>
        <w:t>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6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7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13.07.2026 N 490)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&lt;7&gt; </w:t>
      </w:r>
      <w:hyperlink r:id="rId38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Часть 7 статьи 73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IV. ТРЕБОВАНИЯ К УСЛОВИЯМ РЕАЛИЗАЦИИ</w:t>
      </w:r>
    </w:p>
    <w:p w:rsidR="00B83570" w:rsidRPr="00B83570" w:rsidRDefault="00B835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ОБРАЗОВАТЕЛЬНОЙ ПРОГРАММЫ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&lt;8&gt; Федеральный </w:t>
      </w:r>
      <w:hyperlink r:id="rId39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2022, N 45, ст. 7674); санитарные </w:t>
      </w:r>
      <w:hyperlink r:id="rId40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правила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СП 2.4.3648-20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действующим до 1 января 2027 г.; санитарно-эпидемиологические </w:t>
      </w:r>
      <w:hyperlink r:id="rId41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правила и нормы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СанПиН 2.3/2.4.3590-20 "Санитарно-эпидемиологические требования к организации общественного питания населения", утвержденные постановлением Главного </w:t>
      </w:r>
      <w:r w:rsidRPr="00B83570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действующим до 1 января 2027 г.; санитарные </w:t>
      </w:r>
      <w:hyperlink r:id="rId42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правила и нормы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действующим до 1 марта 2027 г.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4.3. Общесистемные требования к условиям реализации образовательной программы: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предусмотренных учебным планом, с учетом ПОП;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. "а" в ред. </w:t>
      </w:r>
      <w:hyperlink r:id="rId43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</w:t>
      </w:r>
      <w:r w:rsidRPr="00B83570">
        <w:rPr>
          <w:rFonts w:ascii="Times New Roman" w:hAnsi="Times New Roman" w:cs="Times New Roman"/>
          <w:sz w:val="28"/>
          <w:szCs w:val="28"/>
        </w:rPr>
        <w:lastRenderedPageBreak/>
        <w:t>аттестацию, должны быть обеспечены расходными материалами;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г) допускается замена оборудования его виртуальными аналогами;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4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</w:t>
      </w:r>
      <w:r w:rsidRPr="00B83570">
        <w:rPr>
          <w:rFonts w:ascii="Times New Roman" w:hAnsi="Times New Roman" w:cs="Times New Roman"/>
          <w:sz w:val="28"/>
          <w:szCs w:val="28"/>
        </w:rPr>
        <w:lastRenderedPageBreak/>
        <w:t>определяются ПОП.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5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4.5. Требования к кадровым условиям реализации образовательной программы: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79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пункте 1.14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 (имеющих стаж работы в данной профессиональной области не менее трех лет);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9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пункте 1.14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9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пункте 1.14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B83570" w:rsidRPr="00B83570" w:rsidRDefault="00B835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4.6. Требование к финансовым условиям реализации образовательной программы: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46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от 29 декабря 2012 г. N 273-ФЗ "Об образовании в Российской Федерации" &lt;10&gt;.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lastRenderedPageBreak/>
        <w:t xml:space="preserve">&lt;9&gt; Бюджетный </w:t>
      </w:r>
      <w:hyperlink r:id="rId47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кодекс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1998, N 31, ст. 3823; 2022, N 48, ст. 8315).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&lt;10&gt; Собрание законодательства Российской Федерации, 2012, N 53, ст. 7598; 2022, N 50, ст. 8792.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4.7. Требования к применяемым механизмам оценки качества образовательной программы: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B83570" w:rsidRPr="00B83570" w:rsidRDefault="00B835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57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. "в" в ред. </w:t>
      </w:r>
      <w:hyperlink r:id="rId48">
        <w:r w:rsidRPr="00B83570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B8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357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83570">
        <w:rPr>
          <w:rFonts w:ascii="Times New Roman" w:hAnsi="Times New Roman" w:cs="Times New Roman"/>
          <w:sz w:val="28"/>
          <w:szCs w:val="28"/>
        </w:rPr>
        <w:t xml:space="preserve"> России от 03.07.2024 N 464)</w:t>
      </w: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570" w:rsidRPr="00B83570" w:rsidRDefault="00B83570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9E3986" w:rsidRPr="00B83570" w:rsidRDefault="009E3986">
      <w:pPr>
        <w:rPr>
          <w:rFonts w:ascii="Times New Roman" w:hAnsi="Times New Roman" w:cs="Times New Roman"/>
          <w:sz w:val="28"/>
          <w:szCs w:val="28"/>
        </w:rPr>
      </w:pPr>
    </w:p>
    <w:sectPr w:rsidR="009E3986" w:rsidRPr="00B83570" w:rsidSect="00955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70"/>
    <w:rsid w:val="009E3986"/>
    <w:rsid w:val="00B8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507E9-54B0-4ED5-887A-617516E2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35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090&amp;dst=113326" TargetMode="External"/><Relationship Id="rId18" Type="http://schemas.openxmlformats.org/officeDocument/2006/relationships/hyperlink" Target="https://login.consultant.ru/link/?req=doc&amp;base=LAW&amp;n=541081&amp;dst=100249" TargetMode="External"/><Relationship Id="rId26" Type="http://schemas.openxmlformats.org/officeDocument/2006/relationships/hyperlink" Target="https://login.consultant.ru/link/?req=doc&amp;base=LAW&amp;n=483090&amp;dst=113330" TargetMode="External"/><Relationship Id="rId39" Type="http://schemas.openxmlformats.org/officeDocument/2006/relationships/hyperlink" Target="https://login.consultant.ru/link/?req=doc&amp;base=LAW&amp;n=511660" TargetMode="External"/><Relationship Id="rId21" Type="http://schemas.openxmlformats.org/officeDocument/2006/relationships/hyperlink" Target="https://login.consultant.ru/link/?req=doc&amp;base=LAW&amp;n=214720&amp;dst=100050" TargetMode="External"/><Relationship Id="rId34" Type="http://schemas.openxmlformats.org/officeDocument/2006/relationships/hyperlink" Target="https://login.consultant.ru/link/?req=doc&amp;base=LAW&amp;n=541958&amp;dst=100048" TargetMode="External"/><Relationship Id="rId42" Type="http://schemas.openxmlformats.org/officeDocument/2006/relationships/hyperlink" Target="https://login.consultant.ru/link/?req=doc&amp;base=LAW&amp;n=517341&amp;dst=100137" TargetMode="External"/><Relationship Id="rId47" Type="http://schemas.openxmlformats.org/officeDocument/2006/relationships/hyperlink" Target="https://login.consultant.ru/link/?req=doc&amp;base=LAW&amp;n=511724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32819&amp;dst=1000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090&amp;dst=113328" TargetMode="External"/><Relationship Id="rId29" Type="http://schemas.openxmlformats.org/officeDocument/2006/relationships/hyperlink" Target="https://login.consultant.ru/link/?req=doc&amp;base=LAW&amp;n=483090&amp;dst=113332" TargetMode="External"/><Relationship Id="rId11" Type="http://schemas.openxmlformats.org/officeDocument/2006/relationships/hyperlink" Target="https://login.consultant.ru/link/?req=doc&amp;base=LAW&amp;n=530300&amp;dst=100562" TargetMode="External"/><Relationship Id="rId24" Type="http://schemas.openxmlformats.org/officeDocument/2006/relationships/hyperlink" Target="https://login.consultant.ru/link/?req=doc&amp;base=LAW&amp;n=214720&amp;dst=100070" TargetMode="External"/><Relationship Id="rId32" Type="http://schemas.openxmlformats.org/officeDocument/2006/relationships/hyperlink" Target="https://login.consultant.ru/link/?req=doc&amp;base=LAW&amp;n=483090&amp;dst=113335" TargetMode="External"/><Relationship Id="rId37" Type="http://schemas.openxmlformats.org/officeDocument/2006/relationships/hyperlink" Target="https://login.consultant.ru/link/?req=doc&amp;base=LAW&amp;n=541958&amp;dst=100063" TargetMode="External"/><Relationship Id="rId40" Type="http://schemas.openxmlformats.org/officeDocument/2006/relationships/hyperlink" Target="https://login.consultant.ru/link/?req=doc&amp;base=LAW&amp;n=522968&amp;dst=100047" TargetMode="External"/><Relationship Id="rId45" Type="http://schemas.openxmlformats.org/officeDocument/2006/relationships/hyperlink" Target="https://login.consultant.ru/link/?req=doc&amp;base=LAW&amp;n=483090&amp;dst=113342" TargetMode="External"/><Relationship Id="rId5" Type="http://schemas.openxmlformats.org/officeDocument/2006/relationships/hyperlink" Target="https://login.consultant.ru/link/?req=doc&amp;base=LAW&amp;n=483090&amp;dst=113325" TargetMode="External"/><Relationship Id="rId15" Type="http://schemas.openxmlformats.org/officeDocument/2006/relationships/hyperlink" Target="https://login.consultant.ru/link/?req=doc&amp;base=LAW&amp;n=483090&amp;dst=113327" TargetMode="External"/><Relationship Id="rId23" Type="http://schemas.openxmlformats.org/officeDocument/2006/relationships/hyperlink" Target="https://login.consultant.ru/link/?req=doc&amp;base=LAW&amp;n=214720&amp;dst=100060" TargetMode="External"/><Relationship Id="rId28" Type="http://schemas.openxmlformats.org/officeDocument/2006/relationships/hyperlink" Target="https://login.consultant.ru/link/?req=doc&amp;base=LAW&amp;n=541958&amp;dst=100046" TargetMode="External"/><Relationship Id="rId36" Type="http://schemas.openxmlformats.org/officeDocument/2006/relationships/hyperlink" Target="https://login.consultant.ru/link/?req=doc&amp;base=LAW&amp;n=483090&amp;dst=113337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41958&amp;dst=100045" TargetMode="External"/><Relationship Id="rId19" Type="http://schemas.openxmlformats.org/officeDocument/2006/relationships/hyperlink" Target="https://login.consultant.ru/link/?req=doc&amp;base=LAW&amp;n=483090&amp;dst=113329" TargetMode="External"/><Relationship Id="rId31" Type="http://schemas.openxmlformats.org/officeDocument/2006/relationships/hyperlink" Target="https://login.consultant.ru/link/?req=doc&amp;base=LAW&amp;n=483090&amp;dst=113334" TargetMode="External"/><Relationship Id="rId44" Type="http://schemas.openxmlformats.org/officeDocument/2006/relationships/hyperlink" Target="https://login.consultant.ru/link/?req=doc&amp;base=LAW&amp;n=483090&amp;dst=11334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3090&amp;dst=113325" TargetMode="External"/><Relationship Id="rId14" Type="http://schemas.openxmlformats.org/officeDocument/2006/relationships/hyperlink" Target="https://login.consultant.ru/link/?req=doc&amp;base=LAW&amp;n=501142&amp;dst=4" TargetMode="External"/><Relationship Id="rId22" Type="http://schemas.openxmlformats.org/officeDocument/2006/relationships/hyperlink" Target="https://login.consultant.ru/link/?req=doc&amp;base=LAW&amp;n=214720&amp;dst=100056" TargetMode="External"/><Relationship Id="rId27" Type="http://schemas.openxmlformats.org/officeDocument/2006/relationships/hyperlink" Target="https://login.consultant.ru/link/?req=doc&amp;base=LAW&amp;n=501142&amp;dst=4" TargetMode="External"/><Relationship Id="rId30" Type="http://schemas.openxmlformats.org/officeDocument/2006/relationships/hyperlink" Target="https://login.consultant.ru/link/?req=doc&amp;base=LAW&amp;n=483090&amp;dst=113333" TargetMode="External"/><Relationship Id="rId35" Type="http://schemas.openxmlformats.org/officeDocument/2006/relationships/hyperlink" Target="https://login.consultant.ru/link/?req=doc&amp;base=LAW&amp;n=541958&amp;dst=100061" TargetMode="External"/><Relationship Id="rId43" Type="http://schemas.openxmlformats.org/officeDocument/2006/relationships/hyperlink" Target="https://login.consultant.ru/link/?req=doc&amp;base=LAW&amp;n=483090&amp;dst=113338" TargetMode="External"/><Relationship Id="rId48" Type="http://schemas.openxmlformats.org/officeDocument/2006/relationships/hyperlink" Target="https://login.consultant.ru/link/?req=doc&amp;base=LAW&amp;n=483090&amp;dst=113343" TargetMode="External"/><Relationship Id="rId8" Type="http://schemas.openxmlformats.org/officeDocument/2006/relationships/hyperlink" Target="https://login.consultant.ru/link/?req=doc&amp;base=LAW&amp;n=481262&amp;dst=10007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1142&amp;dst=4" TargetMode="External"/><Relationship Id="rId17" Type="http://schemas.openxmlformats.org/officeDocument/2006/relationships/hyperlink" Target="https://login.consultant.ru/link/?req=doc&amp;base=LAW&amp;n=541081&amp;dst=774" TargetMode="External"/><Relationship Id="rId25" Type="http://schemas.openxmlformats.org/officeDocument/2006/relationships/hyperlink" Target="https://login.consultant.ru/link/?req=doc&amp;base=LAW&amp;n=214720&amp;dst=100047" TargetMode="External"/><Relationship Id="rId33" Type="http://schemas.openxmlformats.org/officeDocument/2006/relationships/hyperlink" Target="https://login.consultant.ru/link/?req=doc&amp;base=LAW&amp;n=483090&amp;dst=113336" TargetMode="External"/><Relationship Id="rId38" Type="http://schemas.openxmlformats.org/officeDocument/2006/relationships/hyperlink" Target="https://login.consultant.ru/link/?req=doc&amp;base=LAW&amp;n=541081&amp;dst=415" TargetMode="External"/><Relationship Id="rId46" Type="http://schemas.openxmlformats.org/officeDocument/2006/relationships/hyperlink" Target="https://login.consultant.ru/link/?req=doc&amp;base=LAW&amp;n=541081" TargetMode="External"/><Relationship Id="rId20" Type="http://schemas.openxmlformats.org/officeDocument/2006/relationships/hyperlink" Target="https://login.consultant.ru/link/?req=doc&amp;base=LAW&amp;n=411930&amp;dst=100030" TargetMode="External"/><Relationship Id="rId41" Type="http://schemas.openxmlformats.org/officeDocument/2006/relationships/hyperlink" Target="https://login.consultant.ru/link/?req=doc&amp;base=LAW&amp;n=494597&amp;dst=10003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958&amp;dst=1000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5689</Words>
  <Characters>32431</Characters>
  <Application>Microsoft Office Word</Application>
  <DocSecurity>0</DocSecurity>
  <Lines>270</Lines>
  <Paragraphs>76</Paragraphs>
  <ScaleCrop>false</ScaleCrop>
  <Company/>
  <LinksUpToDate>false</LinksUpToDate>
  <CharactersWithSpaces>38044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Шерстобитова Татьяна Владимировна</dc:creator>
  <cp:keywords/>
  <dc:description/>
  <cp:lastModifiedBy>Шерстобитова Татьяна Владимировна</cp:lastModifiedBy>
  <cp:revision>1</cp:revision>
  <dcterms:created xsi:type="dcterms:W3CDTF">2026-08-25T12:03:00Z</dcterms:created>
  <dcterms:modified xsi:type="dcterms:W3CDTF">2026-08-25T12:04:00Z</dcterms:modified>
</cp:coreProperties>
</file>